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поступления за период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поступления-за-период"/>
    <w:p>
      <w:pPr>
        <w:pStyle w:val="Heading1"/>
      </w:pPr>
      <w:r>
        <w:t xml:space="preserve">КСУ поступления за период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хранит записи КСУ поступления за период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fp"/>
    <w:p>
      <w:pPr>
        <w:pStyle w:val="Heading2"/>
      </w:pPr>
      <w:r>
        <w:t xml:space="preserve">Назначение KSFP</w:t>
      </w:r>
    </w:p>
    <w:p>
      <w:pPr>
        <w:pStyle w:val="FirstParagraph"/>
      </w:pPr>
      <w:r>
        <w:rPr>
          <w:rStyle w:val="VerbatimChar"/>
        </w:rPr>
        <w:t xml:space="preserve">KSFP</w:t>
      </w:r>
      <w:r>
        <w:t xml:space="preserve"> </w:t>
      </w:r>
      <w:r>
        <w:t xml:space="preserve">является карточным модулем для записей книги суммарного учета поступления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KSFP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поступления за период</dc:title>
  <dc:creator/>
  <cp:keywords/>
  <dcterms:created xsi:type="dcterms:W3CDTF">2026-10-08T18:39:02Z</dcterms:created>
  <dcterms:modified xsi:type="dcterms:W3CDTF">2026-10-08T18:39:02Z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